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1A9B" w14:textId="77777777" w:rsidR="003910F0" w:rsidRDefault="00955557">
      <w:pPr>
        <w:rPr>
          <w:b/>
          <w:sz w:val="24"/>
          <w:szCs w:val="24"/>
        </w:rPr>
      </w:pPr>
      <w:r>
        <w:rPr>
          <w:b/>
          <w:sz w:val="24"/>
          <w:szCs w:val="24"/>
        </w:rPr>
        <w:t>TOWN OF GAINESVILLE PUBLIC LIBRARY</w:t>
      </w:r>
      <w:r>
        <w:rPr>
          <w:b/>
          <w:sz w:val="24"/>
          <w:szCs w:val="24"/>
        </w:rPr>
        <w:tab/>
      </w:r>
      <w:r>
        <w:rPr>
          <w:b/>
          <w:sz w:val="24"/>
          <w:szCs w:val="24"/>
        </w:rPr>
        <w:tab/>
      </w:r>
      <w:r w:rsidRPr="006C05E9">
        <w:rPr>
          <w:sz w:val="24"/>
          <w:szCs w:val="24"/>
        </w:rPr>
        <w:t>SILVER</w:t>
      </w:r>
      <w:r>
        <w:rPr>
          <w:b/>
          <w:sz w:val="24"/>
          <w:szCs w:val="24"/>
        </w:rPr>
        <w:t xml:space="preserve"> SPRINGS, NEW YORK</w:t>
      </w:r>
    </w:p>
    <w:p w14:paraId="10676D33" w14:textId="77777777" w:rsidR="00955557" w:rsidRDefault="006C05E9" w:rsidP="00955557">
      <w:pPr>
        <w:ind w:left="720" w:firstLine="720"/>
        <w:rPr>
          <w:b/>
          <w:sz w:val="24"/>
          <w:szCs w:val="24"/>
        </w:rPr>
      </w:pPr>
      <w:r>
        <w:rPr>
          <w:b/>
          <w:sz w:val="24"/>
          <w:szCs w:val="24"/>
        </w:rPr>
        <w:t xml:space="preserve">LIBRARY BILL OF RIGHTS                          </w:t>
      </w:r>
    </w:p>
    <w:p w14:paraId="6AD4FC8A" w14:textId="77777777" w:rsidR="00955557" w:rsidRDefault="00955557" w:rsidP="00955557">
      <w:pPr>
        <w:rPr>
          <w:sz w:val="24"/>
          <w:szCs w:val="24"/>
        </w:rPr>
      </w:pPr>
      <w:r>
        <w:rPr>
          <w:sz w:val="24"/>
          <w:szCs w:val="24"/>
        </w:rPr>
        <w:t xml:space="preserve">The </w:t>
      </w:r>
      <w:r w:rsidR="00635200">
        <w:rPr>
          <w:sz w:val="24"/>
          <w:szCs w:val="24"/>
        </w:rPr>
        <w:t>American Library Association</w:t>
      </w:r>
      <w:r>
        <w:rPr>
          <w:sz w:val="24"/>
          <w:szCs w:val="24"/>
        </w:rPr>
        <w:t xml:space="preserve"> affirms </w:t>
      </w:r>
      <w:r w:rsidR="00635200">
        <w:rPr>
          <w:sz w:val="24"/>
          <w:szCs w:val="24"/>
        </w:rPr>
        <w:t>that all libraries are forums for information</w:t>
      </w:r>
      <w:r>
        <w:rPr>
          <w:sz w:val="24"/>
          <w:szCs w:val="24"/>
        </w:rPr>
        <w:t xml:space="preserve"> and </w:t>
      </w:r>
      <w:r w:rsidR="00635200">
        <w:rPr>
          <w:sz w:val="24"/>
          <w:szCs w:val="24"/>
        </w:rPr>
        <w:t xml:space="preserve">ideas, and that the </w:t>
      </w:r>
      <w:r w:rsidR="00656F2D">
        <w:rPr>
          <w:sz w:val="24"/>
          <w:szCs w:val="24"/>
        </w:rPr>
        <w:t>f</w:t>
      </w:r>
      <w:r w:rsidR="00635200">
        <w:rPr>
          <w:sz w:val="24"/>
          <w:szCs w:val="24"/>
        </w:rPr>
        <w:t>ollowing basic policies should</w:t>
      </w:r>
      <w:r>
        <w:rPr>
          <w:sz w:val="24"/>
          <w:szCs w:val="24"/>
        </w:rPr>
        <w:t xml:space="preserve"> guide their services.</w:t>
      </w:r>
    </w:p>
    <w:p w14:paraId="07E9311F" w14:textId="77777777" w:rsidR="00A37070" w:rsidRDefault="00635200" w:rsidP="00952F89">
      <w:pPr>
        <w:pStyle w:val="ListParagraph"/>
        <w:numPr>
          <w:ilvl w:val="0"/>
          <w:numId w:val="2"/>
        </w:numPr>
        <w:rPr>
          <w:sz w:val="24"/>
          <w:szCs w:val="24"/>
        </w:rPr>
      </w:pPr>
      <w:r w:rsidRPr="00A37070">
        <w:rPr>
          <w:sz w:val="24"/>
          <w:szCs w:val="24"/>
        </w:rPr>
        <w:t>Books and other l</w:t>
      </w:r>
      <w:r w:rsidR="00955557" w:rsidRPr="00A37070">
        <w:rPr>
          <w:sz w:val="24"/>
          <w:szCs w:val="24"/>
        </w:rPr>
        <w:t xml:space="preserve">ibrary resources </w:t>
      </w:r>
      <w:r w:rsidRPr="00A37070">
        <w:rPr>
          <w:sz w:val="24"/>
          <w:szCs w:val="24"/>
        </w:rPr>
        <w:t>should</w:t>
      </w:r>
      <w:r w:rsidR="00955557" w:rsidRPr="00A37070">
        <w:rPr>
          <w:sz w:val="24"/>
          <w:szCs w:val="24"/>
        </w:rPr>
        <w:t xml:space="preserve"> be provided for the interest, information and enlightenment</w:t>
      </w:r>
      <w:r w:rsidRPr="00A37070">
        <w:rPr>
          <w:sz w:val="24"/>
          <w:szCs w:val="24"/>
        </w:rPr>
        <w:t xml:space="preserve"> of all people of</w:t>
      </w:r>
      <w:r w:rsidR="00955557" w:rsidRPr="00A37070">
        <w:rPr>
          <w:sz w:val="24"/>
          <w:szCs w:val="24"/>
        </w:rPr>
        <w:t xml:space="preserve"> the </w:t>
      </w:r>
      <w:r w:rsidRPr="00A37070">
        <w:rPr>
          <w:sz w:val="24"/>
          <w:szCs w:val="24"/>
        </w:rPr>
        <w:t>community</w:t>
      </w:r>
      <w:r w:rsidR="00955557" w:rsidRPr="00A37070">
        <w:rPr>
          <w:sz w:val="24"/>
          <w:szCs w:val="24"/>
        </w:rPr>
        <w:t xml:space="preserve"> the library serves. Materials </w:t>
      </w:r>
      <w:r w:rsidRPr="00A37070">
        <w:rPr>
          <w:sz w:val="24"/>
          <w:szCs w:val="24"/>
        </w:rPr>
        <w:t xml:space="preserve">should </w:t>
      </w:r>
      <w:r w:rsidR="00955557" w:rsidRPr="00A37070">
        <w:rPr>
          <w:sz w:val="24"/>
          <w:szCs w:val="24"/>
        </w:rPr>
        <w:t>not be excluded because of the origin, background, or views of those contri</w:t>
      </w:r>
      <w:r w:rsidR="00A37070" w:rsidRPr="00A37070">
        <w:rPr>
          <w:sz w:val="24"/>
          <w:szCs w:val="24"/>
        </w:rPr>
        <w:t>buting to their creation</w:t>
      </w:r>
      <w:r w:rsidR="00A37070">
        <w:rPr>
          <w:sz w:val="24"/>
          <w:szCs w:val="24"/>
        </w:rPr>
        <w:t>.</w:t>
      </w:r>
    </w:p>
    <w:p w14:paraId="180E36D3" w14:textId="77777777" w:rsidR="00A12036" w:rsidRDefault="00A37070" w:rsidP="00076C25">
      <w:pPr>
        <w:pStyle w:val="ListParagraph"/>
        <w:numPr>
          <w:ilvl w:val="0"/>
          <w:numId w:val="2"/>
        </w:numPr>
        <w:rPr>
          <w:sz w:val="24"/>
          <w:szCs w:val="24"/>
        </w:rPr>
      </w:pPr>
      <w:r w:rsidRPr="00A12036">
        <w:rPr>
          <w:sz w:val="24"/>
          <w:szCs w:val="24"/>
        </w:rPr>
        <w:t>T</w:t>
      </w:r>
      <w:r w:rsidR="00955557" w:rsidRPr="00A12036">
        <w:rPr>
          <w:sz w:val="24"/>
          <w:szCs w:val="24"/>
        </w:rPr>
        <w:t>he library sh</w:t>
      </w:r>
      <w:r w:rsidR="00656F2D" w:rsidRPr="00A12036">
        <w:rPr>
          <w:sz w:val="24"/>
          <w:szCs w:val="24"/>
        </w:rPr>
        <w:t>ould</w:t>
      </w:r>
      <w:r w:rsidR="00955557" w:rsidRPr="00A12036">
        <w:rPr>
          <w:sz w:val="24"/>
          <w:szCs w:val="24"/>
        </w:rPr>
        <w:t xml:space="preserve"> provide materials and information presenting all points of view on current and historical issues. Materials </w:t>
      </w:r>
      <w:r w:rsidR="00656F2D" w:rsidRPr="00A12036">
        <w:rPr>
          <w:sz w:val="24"/>
          <w:szCs w:val="24"/>
        </w:rPr>
        <w:t xml:space="preserve">shall </w:t>
      </w:r>
      <w:r w:rsidR="00955557" w:rsidRPr="00A12036">
        <w:rPr>
          <w:sz w:val="24"/>
          <w:szCs w:val="24"/>
        </w:rPr>
        <w:t>not be proscribed or removed because of partis</w:t>
      </w:r>
      <w:r w:rsidR="00656F2D" w:rsidRPr="00A12036">
        <w:rPr>
          <w:sz w:val="24"/>
          <w:szCs w:val="24"/>
        </w:rPr>
        <w:t>an</w:t>
      </w:r>
      <w:r w:rsidR="00955557" w:rsidRPr="00A12036">
        <w:rPr>
          <w:sz w:val="24"/>
          <w:szCs w:val="24"/>
        </w:rPr>
        <w:t xml:space="preserve"> or doctrinal disapproval.</w:t>
      </w:r>
    </w:p>
    <w:p w14:paraId="7459F7D8" w14:textId="77777777" w:rsidR="00A12036" w:rsidRDefault="00A12036" w:rsidP="00B631B4">
      <w:pPr>
        <w:pStyle w:val="ListParagraph"/>
        <w:numPr>
          <w:ilvl w:val="0"/>
          <w:numId w:val="2"/>
        </w:numPr>
        <w:rPr>
          <w:sz w:val="24"/>
          <w:szCs w:val="24"/>
        </w:rPr>
      </w:pPr>
      <w:r w:rsidRPr="00A12036">
        <w:rPr>
          <w:sz w:val="24"/>
          <w:szCs w:val="24"/>
        </w:rPr>
        <w:t>L</w:t>
      </w:r>
      <w:r w:rsidR="00656F2D" w:rsidRPr="00A12036">
        <w:rPr>
          <w:sz w:val="24"/>
          <w:szCs w:val="24"/>
        </w:rPr>
        <w:t>ibraries should</w:t>
      </w:r>
      <w:r w:rsidR="00955557" w:rsidRPr="00A12036">
        <w:rPr>
          <w:sz w:val="24"/>
          <w:szCs w:val="24"/>
        </w:rPr>
        <w:t xml:space="preserve"> challenge censorship in the fulfillment of their respon</w:t>
      </w:r>
      <w:r w:rsidR="00455FF8" w:rsidRPr="00A12036">
        <w:rPr>
          <w:sz w:val="24"/>
          <w:szCs w:val="24"/>
        </w:rPr>
        <w:t xml:space="preserve">sibility to provide information and </w:t>
      </w:r>
      <w:r w:rsidR="00656F2D" w:rsidRPr="00A12036">
        <w:rPr>
          <w:sz w:val="24"/>
          <w:szCs w:val="24"/>
        </w:rPr>
        <w:t>enlightenment.</w:t>
      </w:r>
    </w:p>
    <w:p w14:paraId="3A860657" w14:textId="77777777" w:rsidR="00A12036" w:rsidRDefault="00656F2D" w:rsidP="00697CCA">
      <w:pPr>
        <w:pStyle w:val="ListParagraph"/>
        <w:numPr>
          <w:ilvl w:val="0"/>
          <w:numId w:val="2"/>
        </w:numPr>
        <w:rPr>
          <w:sz w:val="24"/>
          <w:szCs w:val="24"/>
        </w:rPr>
      </w:pPr>
      <w:r w:rsidRPr="00A12036">
        <w:rPr>
          <w:sz w:val="24"/>
          <w:szCs w:val="24"/>
        </w:rPr>
        <w:t>Libraries should cooperate with all persons and groups concerned with resisting abridgment of free expression and free access to ideas.</w:t>
      </w:r>
    </w:p>
    <w:p w14:paraId="42AE0E99" w14:textId="77777777" w:rsidR="00A12036" w:rsidRDefault="00455FF8" w:rsidP="00E65081">
      <w:pPr>
        <w:pStyle w:val="ListParagraph"/>
        <w:numPr>
          <w:ilvl w:val="0"/>
          <w:numId w:val="2"/>
        </w:numPr>
        <w:rPr>
          <w:sz w:val="24"/>
          <w:szCs w:val="24"/>
        </w:rPr>
      </w:pPr>
      <w:r w:rsidRPr="00A12036">
        <w:rPr>
          <w:sz w:val="24"/>
          <w:szCs w:val="24"/>
        </w:rPr>
        <w:t xml:space="preserve">A person’s right to use the Library </w:t>
      </w:r>
      <w:r w:rsidR="00656F2D" w:rsidRPr="00A12036">
        <w:rPr>
          <w:sz w:val="24"/>
          <w:szCs w:val="24"/>
        </w:rPr>
        <w:t>should</w:t>
      </w:r>
      <w:r w:rsidRPr="00A12036">
        <w:rPr>
          <w:sz w:val="24"/>
          <w:szCs w:val="24"/>
        </w:rPr>
        <w:t xml:space="preserve"> not be denied or abridged because of or</w:t>
      </w:r>
      <w:r w:rsidR="00A12036" w:rsidRPr="00A12036">
        <w:rPr>
          <w:sz w:val="24"/>
          <w:szCs w:val="24"/>
        </w:rPr>
        <w:t>igin, age, background, or views</w:t>
      </w:r>
      <w:r w:rsidR="00A12036">
        <w:rPr>
          <w:sz w:val="24"/>
          <w:szCs w:val="24"/>
        </w:rPr>
        <w:t>.</w:t>
      </w:r>
    </w:p>
    <w:p w14:paraId="2A72D900" w14:textId="77777777" w:rsidR="00455FF8" w:rsidRPr="00A12036" w:rsidRDefault="00CF795A" w:rsidP="00E65081">
      <w:pPr>
        <w:pStyle w:val="ListParagraph"/>
        <w:numPr>
          <w:ilvl w:val="0"/>
          <w:numId w:val="2"/>
        </w:numPr>
        <w:rPr>
          <w:sz w:val="24"/>
          <w:szCs w:val="24"/>
        </w:rPr>
      </w:pPr>
      <w:r w:rsidRPr="00A12036">
        <w:rPr>
          <w:sz w:val="24"/>
          <w:szCs w:val="24"/>
        </w:rPr>
        <w:t>Libraries that make exhibit spaces and meeting rooms available to the public they serve</w:t>
      </w:r>
      <w:r w:rsidR="00656F2D" w:rsidRPr="00A12036">
        <w:rPr>
          <w:sz w:val="24"/>
          <w:szCs w:val="24"/>
        </w:rPr>
        <w:t xml:space="preserve"> should make </w:t>
      </w:r>
      <w:r w:rsidR="00455FF8" w:rsidRPr="00A12036">
        <w:rPr>
          <w:sz w:val="24"/>
          <w:szCs w:val="24"/>
        </w:rPr>
        <w:t>such facilities available on an equit</w:t>
      </w:r>
      <w:r w:rsidR="00656F2D" w:rsidRPr="00A12036">
        <w:rPr>
          <w:sz w:val="24"/>
          <w:szCs w:val="24"/>
        </w:rPr>
        <w:t>able</w:t>
      </w:r>
      <w:r w:rsidR="00455FF8" w:rsidRPr="00A12036">
        <w:rPr>
          <w:sz w:val="24"/>
          <w:szCs w:val="24"/>
        </w:rPr>
        <w:t xml:space="preserve"> basis, regardless of the be</w:t>
      </w:r>
      <w:r w:rsidR="00656F2D" w:rsidRPr="00A12036">
        <w:rPr>
          <w:sz w:val="24"/>
          <w:szCs w:val="24"/>
        </w:rPr>
        <w:t>lie</w:t>
      </w:r>
      <w:r w:rsidR="00455FF8" w:rsidRPr="00A12036">
        <w:rPr>
          <w:sz w:val="24"/>
          <w:szCs w:val="24"/>
        </w:rPr>
        <w:t xml:space="preserve">fs or affiliations of individuals or </w:t>
      </w:r>
      <w:r w:rsidR="00656F2D" w:rsidRPr="00A12036">
        <w:rPr>
          <w:sz w:val="24"/>
          <w:szCs w:val="24"/>
        </w:rPr>
        <w:t xml:space="preserve">groups </w:t>
      </w:r>
      <w:r w:rsidR="00455FF8" w:rsidRPr="00A12036">
        <w:rPr>
          <w:sz w:val="24"/>
          <w:szCs w:val="24"/>
        </w:rPr>
        <w:t>requesting their use.</w:t>
      </w:r>
    </w:p>
    <w:p w14:paraId="12FBB18A" w14:textId="77777777" w:rsidR="00A12036" w:rsidRDefault="00A12036" w:rsidP="00455FF8">
      <w:pPr>
        <w:rPr>
          <w:sz w:val="24"/>
          <w:szCs w:val="24"/>
        </w:rPr>
      </w:pPr>
      <w:r>
        <w:rPr>
          <w:sz w:val="24"/>
          <w:szCs w:val="24"/>
        </w:rPr>
        <w:t>(Adopted June 18, 1948. Amended February 2, 1961, June 27, 1967, and January 23, 1980, inclusion of “age” reaffirmed January 23, 1996 by the ALA Council)</w:t>
      </w:r>
    </w:p>
    <w:p w14:paraId="5CD6BB1F" w14:textId="77777777" w:rsidR="00455FF8" w:rsidRDefault="00A12036" w:rsidP="00455FF8">
      <w:pPr>
        <w:rPr>
          <w:b/>
          <w:sz w:val="24"/>
          <w:szCs w:val="24"/>
        </w:rPr>
      </w:pPr>
      <w:r>
        <w:rPr>
          <w:b/>
          <w:sz w:val="24"/>
          <w:szCs w:val="24"/>
        </w:rPr>
        <w:t>Freedom to Read</w:t>
      </w:r>
    </w:p>
    <w:p w14:paraId="34D572BF" w14:textId="77777777" w:rsidR="00A12036" w:rsidRDefault="00A12036" w:rsidP="00A12036">
      <w:pPr>
        <w:pStyle w:val="ListParagraph"/>
        <w:numPr>
          <w:ilvl w:val="0"/>
          <w:numId w:val="2"/>
        </w:numPr>
        <w:rPr>
          <w:sz w:val="24"/>
          <w:szCs w:val="24"/>
        </w:rPr>
      </w:pPr>
      <w:r>
        <w:rPr>
          <w:sz w:val="24"/>
          <w:szCs w:val="24"/>
        </w:rPr>
        <w:t xml:space="preserve">It is in the public interest for publishers and librarians to make available the widest diversity of views and expressions, including </w:t>
      </w:r>
      <w:r w:rsidR="00CF795A">
        <w:rPr>
          <w:sz w:val="24"/>
          <w:szCs w:val="24"/>
        </w:rPr>
        <w:t>those, which</w:t>
      </w:r>
      <w:r>
        <w:rPr>
          <w:sz w:val="24"/>
          <w:szCs w:val="24"/>
        </w:rPr>
        <w:t xml:space="preserve"> are unorthodox or unpopular with the majority.</w:t>
      </w:r>
    </w:p>
    <w:p w14:paraId="7B9FE518" w14:textId="77777777" w:rsidR="00A760FC" w:rsidRDefault="00A760FC" w:rsidP="00A12036">
      <w:pPr>
        <w:pStyle w:val="ListParagraph"/>
        <w:numPr>
          <w:ilvl w:val="0"/>
          <w:numId w:val="2"/>
        </w:numPr>
        <w:rPr>
          <w:sz w:val="24"/>
          <w:szCs w:val="24"/>
        </w:rPr>
      </w:pPr>
      <w:r>
        <w:rPr>
          <w:sz w:val="24"/>
          <w:szCs w:val="24"/>
        </w:rPr>
        <w:t>Publishers, librarians and booksellers do not need to endorse every idea or presentation contained in the books they make available. It would conflict with the public interest for them to establish their own political, moral or aesthetic views as a standard for what books should be published o</w:t>
      </w:r>
      <w:r w:rsidR="00CF795A">
        <w:rPr>
          <w:sz w:val="24"/>
          <w:szCs w:val="24"/>
        </w:rPr>
        <w:t>r</w:t>
      </w:r>
      <w:r>
        <w:rPr>
          <w:sz w:val="24"/>
          <w:szCs w:val="24"/>
        </w:rPr>
        <w:t xml:space="preserve"> circulated.</w:t>
      </w:r>
    </w:p>
    <w:p w14:paraId="4024D682" w14:textId="77777777" w:rsidR="00A760FC" w:rsidRDefault="00A760FC" w:rsidP="00A12036">
      <w:pPr>
        <w:pStyle w:val="ListParagraph"/>
        <w:numPr>
          <w:ilvl w:val="0"/>
          <w:numId w:val="2"/>
        </w:numPr>
        <w:rPr>
          <w:sz w:val="24"/>
          <w:szCs w:val="24"/>
        </w:rPr>
      </w:pPr>
      <w:r>
        <w:rPr>
          <w:sz w:val="24"/>
          <w:szCs w:val="24"/>
        </w:rPr>
        <w:t xml:space="preserve">It is contrary to the public interest for publishers or librarians to determine the acceptability of a book </w:t>
      </w:r>
      <w:r w:rsidR="00CF795A">
        <w:rPr>
          <w:sz w:val="24"/>
          <w:szCs w:val="24"/>
        </w:rPr>
        <w:t>based on</w:t>
      </w:r>
      <w:r>
        <w:rPr>
          <w:sz w:val="24"/>
          <w:szCs w:val="24"/>
        </w:rPr>
        <w:t xml:space="preserve"> the personal history or political affiliations of the author.</w:t>
      </w:r>
    </w:p>
    <w:p w14:paraId="60461EC1" w14:textId="77777777" w:rsidR="00A75683" w:rsidRDefault="00A760FC" w:rsidP="00A75683">
      <w:pPr>
        <w:pStyle w:val="ListParagraph"/>
        <w:numPr>
          <w:ilvl w:val="0"/>
          <w:numId w:val="2"/>
        </w:numPr>
        <w:rPr>
          <w:sz w:val="24"/>
          <w:szCs w:val="24"/>
        </w:rPr>
      </w:pPr>
      <w:r w:rsidRPr="00A75683">
        <w:rPr>
          <w:sz w:val="24"/>
          <w:szCs w:val="24"/>
        </w:rPr>
        <w:t>There is no place in our society for efforts to coerce the taste of others, to confine adults to the reading matter deemed suitable for adolescents, or to inhibit the efforts of writers to achieve artistic expression.</w:t>
      </w:r>
    </w:p>
    <w:p w14:paraId="7D16B0AB" w14:textId="77777777" w:rsidR="00A760FC" w:rsidRDefault="00A75683" w:rsidP="002340D0">
      <w:pPr>
        <w:pStyle w:val="ListParagraph"/>
        <w:numPr>
          <w:ilvl w:val="0"/>
          <w:numId w:val="2"/>
        </w:numPr>
        <w:rPr>
          <w:sz w:val="24"/>
          <w:szCs w:val="24"/>
        </w:rPr>
      </w:pPr>
      <w:r w:rsidRPr="00A75683">
        <w:rPr>
          <w:sz w:val="24"/>
          <w:szCs w:val="24"/>
        </w:rPr>
        <w:t xml:space="preserve">It is </w:t>
      </w:r>
      <w:r w:rsidR="00A760FC" w:rsidRPr="00A75683">
        <w:rPr>
          <w:sz w:val="24"/>
          <w:szCs w:val="24"/>
        </w:rPr>
        <w:t>not in the public interest to force a reader to accept with any book the prejudgment of a label characterizing the book or author as subversive or dangerous.</w:t>
      </w:r>
    </w:p>
    <w:p w14:paraId="6A84992A" w14:textId="77777777" w:rsidR="00A12036" w:rsidRPr="00A75683" w:rsidRDefault="00A75683" w:rsidP="00A75683">
      <w:pPr>
        <w:pStyle w:val="ListParagraph"/>
        <w:numPr>
          <w:ilvl w:val="0"/>
          <w:numId w:val="2"/>
        </w:numPr>
        <w:rPr>
          <w:sz w:val="24"/>
          <w:szCs w:val="24"/>
        </w:rPr>
      </w:pPr>
      <w:r>
        <w:rPr>
          <w:sz w:val="24"/>
          <w:szCs w:val="24"/>
        </w:rPr>
        <w:lastRenderedPageBreak/>
        <w:t xml:space="preserve"> </w:t>
      </w:r>
      <w:r w:rsidR="00A760FC" w:rsidRPr="00A75683">
        <w:rPr>
          <w:sz w:val="24"/>
          <w:szCs w:val="24"/>
        </w:rPr>
        <w:t xml:space="preserve">It is the </w:t>
      </w:r>
      <w:r w:rsidR="00BD4C69" w:rsidRPr="00A75683">
        <w:rPr>
          <w:sz w:val="24"/>
          <w:szCs w:val="24"/>
        </w:rPr>
        <w:t xml:space="preserve">responsibility </w:t>
      </w:r>
      <w:r w:rsidR="00363F22" w:rsidRPr="00A75683">
        <w:rPr>
          <w:sz w:val="24"/>
          <w:szCs w:val="24"/>
        </w:rPr>
        <w:t>of publishers and librarians, as guardians of the people’s freedom to read, to contest encroachments upon that freedom by individuals or groups seeking to impose their own standards or tastes upon the community at large.</w:t>
      </w:r>
    </w:p>
    <w:p w14:paraId="7BF4C2A3" w14:textId="77777777" w:rsidR="00363F22" w:rsidRDefault="00363F22" w:rsidP="00A12036">
      <w:pPr>
        <w:pStyle w:val="ListParagraph"/>
        <w:numPr>
          <w:ilvl w:val="0"/>
          <w:numId w:val="2"/>
        </w:numPr>
        <w:rPr>
          <w:sz w:val="24"/>
          <w:szCs w:val="24"/>
        </w:rPr>
      </w:pPr>
      <w:r>
        <w:rPr>
          <w:sz w:val="24"/>
          <w:szCs w:val="24"/>
        </w:rPr>
        <w:t>It is the responsibility of publishers and librarians to give full meaning to the freedom to read by providing books that enrich the quality and diversity of thought and expressions. By the exercise of this affirmative responsibility, they can demonstrate that the answer to a bad book is a good one, the answer to a bad idea is a good one.</w:t>
      </w:r>
    </w:p>
    <w:p w14:paraId="77DBD402" w14:textId="77777777" w:rsidR="00363F22" w:rsidRDefault="00363F22" w:rsidP="00363F22">
      <w:pPr>
        <w:rPr>
          <w:sz w:val="24"/>
          <w:szCs w:val="24"/>
        </w:rPr>
      </w:pPr>
      <w:r>
        <w:rPr>
          <w:sz w:val="24"/>
          <w:szCs w:val="24"/>
        </w:rPr>
        <w:t xml:space="preserve">(Adopted June 25, 1953; revised January 28, 1972, January 16, 1991, by the ALA </w:t>
      </w:r>
      <w:r w:rsidR="00A75683">
        <w:rPr>
          <w:sz w:val="24"/>
          <w:szCs w:val="24"/>
        </w:rPr>
        <w:t>Council and the AAP Freedom to Read Committee, July 12, 2000, and June 30, 2004.)</w:t>
      </w:r>
    </w:p>
    <w:p w14:paraId="4761470A" w14:textId="77777777" w:rsidR="00A75683" w:rsidRDefault="00A75683" w:rsidP="00363F22">
      <w:pPr>
        <w:rPr>
          <w:b/>
          <w:sz w:val="24"/>
          <w:szCs w:val="24"/>
        </w:rPr>
      </w:pPr>
      <w:r>
        <w:rPr>
          <w:b/>
          <w:sz w:val="24"/>
          <w:szCs w:val="24"/>
        </w:rPr>
        <w:t>Freedom to View</w:t>
      </w:r>
    </w:p>
    <w:p w14:paraId="79EF1D47" w14:textId="77777777" w:rsidR="00C26B16" w:rsidRPr="00C26B16" w:rsidRDefault="00A75683" w:rsidP="00A75683">
      <w:pPr>
        <w:pStyle w:val="ListParagraph"/>
        <w:numPr>
          <w:ilvl w:val="0"/>
          <w:numId w:val="2"/>
        </w:numPr>
        <w:rPr>
          <w:b/>
          <w:sz w:val="24"/>
          <w:szCs w:val="24"/>
        </w:rPr>
      </w:pPr>
      <w:r>
        <w:rPr>
          <w:b/>
          <w:sz w:val="24"/>
          <w:szCs w:val="24"/>
        </w:rPr>
        <w:t xml:space="preserve"> </w:t>
      </w:r>
      <w:r w:rsidR="00C26B16">
        <w:rPr>
          <w:sz w:val="24"/>
          <w:szCs w:val="24"/>
        </w:rPr>
        <w:t xml:space="preserve">To provide the broadest access to film, video, and other audiovisual materials because they are a means for the communication of ideas. Liberty of circulation is essential to insure the constitutional guarantee of freedom </w:t>
      </w:r>
      <w:r w:rsidR="00CF795A">
        <w:rPr>
          <w:sz w:val="24"/>
          <w:szCs w:val="24"/>
        </w:rPr>
        <w:t>of</w:t>
      </w:r>
      <w:r w:rsidR="00C26B16">
        <w:rPr>
          <w:sz w:val="24"/>
          <w:szCs w:val="24"/>
        </w:rPr>
        <w:t xml:space="preserve"> expression.</w:t>
      </w:r>
    </w:p>
    <w:p w14:paraId="6543140B" w14:textId="77777777" w:rsidR="00C26B16" w:rsidRPr="00C26B16" w:rsidRDefault="00C26B16" w:rsidP="00A75683">
      <w:pPr>
        <w:pStyle w:val="ListParagraph"/>
        <w:numPr>
          <w:ilvl w:val="0"/>
          <w:numId w:val="2"/>
        </w:numPr>
        <w:rPr>
          <w:b/>
          <w:sz w:val="24"/>
          <w:szCs w:val="24"/>
        </w:rPr>
      </w:pPr>
      <w:r>
        <w:rPr>
          <w:sz w:val="24"/>
          <w:szCs w:val="24"/>
        </w:rPr>
        <w:t>To protect the confidentiality of all individuals and institutions using film, video, and other audiovisual materials.</w:t>
      </w:r>
    </w:p>
    <w:p w14:paraId="5964CF86" w14:textId="77777777" w:rsidR="00C26B16" w:rsidRPr="00C26B16" w:rsidRDefault="00C26B16" w:rsidP="00A75683">
      <w:pPr>
        <w:pStyle w:val="ListParagraph"/>
        <w:numPr>
          <w:ilvl w:val="0"/>
          <w:numId w:val="2"/>
        </w:numPr>
        <w:rPr>
          <w:b/>
          <w:sz w:val="24"/>
          <w:szCs w:val="24"/>
        </w:rPr>
      </w:pPr>
      <w:r>
        <w:rPr>
          <w:sz w:val="24"/>
          <w:szCs w:val="24"/>
        </w:rPr>
        <w:t>To provide film, video, and other audiovisual materials which represent a diversity of views and expression. Selection of a work does not constitute or imply agreement with or approval of the content.</w:t>
      </w:r>
    </w:p>
    <w:p w14:paraId="0B7A263E" w14:textId="77777777" w:rsidR="00C26B16" w:rsidRPr="00C26B16" w:rsidRDefault="00C26B16" w:rsidP="00A75683">
      <w:pPr>
        <w:pStyle w:val="ListParagraph"/>
        <w:numPr>
          <w:ilvl w:val="0"/>
          <w:numId w:val="2"/>
        </w:numPr>
        <w:rPr>
          <w:b/>
          <w:sz w:val="24"/>
          <w:szCs w:val="24"/>
        </w:rPr>
      </w:pPr>
      <w:r>
        <w:rPr>
          <w:sz w:val="24"/>
          <w:szCs w:val="24"/>
        </w:rPr>
        <w:t xml:space="preserve">To provide a diversity of viewpoints without the constraint of labeling or prejudging film, video, or other audiovisual materials on the basis of the moral, religious, or political beliefs of the producer or filmmaker or on the basis of controversial content. </w:t>
      </w:r>
    </w:p>
    <w:p w14:paraId="6819D4D7" w14:textId="77777777" w:rsidR="00C26B16" w:rsidRPr="00C26B16" w:rsidRDefault="00C26B16" w:rsidP="00C26B16">
      <w:pPr>
        <w:pStyle w:val="ListParagraph"/>
        <w:numPr>
          <w:ilvl w:val="0"/>
          <w:numId w:val="2"/>
        </w:numPr>
        <w:rPr>
          <w:b/>
          <w:sz w:val="24"/>
          <w:szCs w:val="24"/>
        </w:rPr>
      </w:pPr>
      <w:r>
        <w:rPr>
          <w:sz w:val="24"/>
          <w:szCs w:val="24"/>
        </w:rPr>
        <w:t xml:space="preserve">To contest vigorously, by all lawful means, every encroachment upon the public’s freedom to view. </w:t>
      </w:r>
    </w:p>
    <w:p w14:paraId="42071E69" w14:textId="77777777" w:rsidR="0038520E" w:rsidRDefault="00C26B16" w:rsidP="00C26B16">
      <w:pPr>
        <w:rPr>
          <w:sz w:val="24"/>
          <w:szCs w:val="24"/>
        </w:rPr>
      </w:pPr>
      <w:r>
        <w:rPr>
          <w:sz w:val="24"/>
          <w:szCs w:val="24"/>
        </w:rPr>
        <w:t xml:space="preserve">{This statement was originally drafted by the Freedom to View Committee of the American Film and Video Association [formerly the Educational Film Library </w:t>
      </w:r>
      <w:r w:rsidR="0038520E">
        <w:rPr>
          <w:sz w:val="24"/>
          <w:szCs w:val="24"/>
        </w:rPr>
        <w:t>Association] and was adopted by the AFVA Board of Directors in February 1979. This statement was updated and approved by the AFVA Board of Directors in 1989. Endorsed January 10, 1990, by the ALA Council)</w:t>
      </w:r>
    </w:p>
    <w:p w14:paraId="262687F9" w14:textId="77777777" w:rsidR="0038520E" w:rsidRDefault="0038520E" w:rsidP="00C26B16">
      <w:pPr>
        <w:rPr>
          <w:sz w:val="24"/>
          <w:szCs w:val="24"/>
        </w:rPr>
      </w:pPr>
      <w:r>
        <w:rPr>
          <w:sz w:val="24"/>
          <w:szCs w:val="24"/>
        </w:rPr>
        <w:t>Adopted 4/10/2019</w:t>
      </w:r>
    </w:p>
    <w:p w14:paraId="2F3B2F87" w14:textId="77777777" w:rsidR="00455FF8" w:rsidRDefault="00455FF8" w:rsidP="00455FF8">
      <w:pPr>
        <w:rPr>
          <w:sz w:val="24"/>
          <w:szCs w:val="24"/>
        </w:rPr>
      </w:pPr>
      <w:r>
        <w:rPr>
          <w:sz w:val="24"/>
          <w:szCs w:val="24"/>
        </w:rPr>
        <w:t>The Town of Gainesville Public Library supports and complies with</w:t>
      </w:r>
      <w:r w:rsidR="0038520E">
        <w:rPr>
          <w:sz w:val="24"/>
          <w:szCs w:val="24"/>
        </w:rPr>
        <w:t xml:space="preserve"> the rules, regulations and theories put forth by the American Library Association (ALA)</w:t>
      </w:r>
      <w:r w:rsidR="006C05E9">
        <w:rPr>
          <w:sz w:val="24"/>
          <w:szCs w:val="24"/>
        </w:rPr>
        <w:t xml:space="preserve"> as stated above</w:t>
      </w:r>
      <w:r w:rsidR="00635200">
        <w:rPr>
          <w:sz w:val="24"/>
          <w:szCs w:val="24"/>
        </w:rPr>
        <w:t>.</w:t>
      </w:r>
    </w:p>
    <w:p w14:paraId="0C9B203E" w14:textId="1AEE2DE4" w:rsidR="006C05E9" w:rsidRDefault="006C05E9" w:rsidP="00455FF8">
      <w:pPr>
        <w:rPr>
          <w:sz w:val="24"/>
          <w:szCs w:val="24"/>
        </w:rPr>
      </w:pPr>
      <w:r>
        <w:rPr>
          <w:sz w:val="24"/>
          <w:szCs w:val="24"/>
        </w:rPr>
        <w:t>Adopted by the Town of Gainesville Board of Trustees:</w:t>
      </w:r>
      <w:r w:rsidR="00996E23">
        <w:rPr>
          <w:sz w:val="24"/>
          <w:szCs w:val="24"/>
        </w:rPr>
        <w:t xml:space="preserve"> April 15, 2024</w:t>
      </w:r>
    </w:p>
    <w:sectPr w:rsidR="006C05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DD6F" w14:textId="77777777" w:rsidR="005A0EF0" w:rsidRDefault="005A0EF0" w:rsidP="00CF795A">
      <w:pPr>
        <w:spacing w:after="0" w:line="240" w:lineRule="auto"/>
      </w:pPr>
      <w:r>
        <w:separator/>
      </w:r>
    </w:p>
  </w:endnote>
  <w:endnote w:type="continuationSeparator" w:id="0">
    <w:p w14:paraId="4F204A61" w14:textId="77777777" w:rsidR="005A0EF0" w:rsidRDefault="005A0EF0" w:rsidP="00CF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45920"/>
      <w:docPartObj>
        <w:docPartGallery w:val="Page Numbers (Bottom of Page)"/>
        <w:docPartUnique/>
      </w:docPartObj>
    </w:sdtPr>
    <w:sdtEndPr>
      <w:rPr>
        <w:noProof/>
      </w:rPr>
    </w:sdtEndPr>
    <w:sdtContent>
      <w:p w14:paraId="3548B88E" w14:textId="77777777" w:rsidR="00CF795A" w:rsidRDefault="00CF795A">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1DCEA97" w14:textId="77777777" w:rsidR="00CF795A" w:rsidRDefault="00CF7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867A" w14:textId="77777777" w:rsidR="005A0EF0" w:rsidRDefault="005A0EF0" w:rsidP="00CF795A">
      <w:pPr>
        <w:spacing w:after="0" w:line="240" w:lineRule="auto"/>
      </w:pPr>
      <w:r>
        <w:separator/>
      </w:r>
    </w:p>
  </w:footnote>
  <w:footnote w:type="continuationSeparator" w:id="0">
    <w:p w14:paraId="5135FC91" w14:textId="77777777" w:rsidR="005A0EF0" w:rsidRDefault="005A0EF0" w:rsidP="00CF7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5pt;height:10.85pt" o:bullet="t">
        <v:imagedata r:id="rId1" o:title="mso69D8"/>
      </v:shape>
    </w:pict>
  </w:numPicBullet>
  <w:abstractNum w:abstractNumId="0" w15:restartNumberingAfterBreak="0">
    <w:nsid w:val="34C34F47"/>
    <w:multiLevelType w:val="hybridMultilevel"/>
    <w:tmpl w:val="FD7C46E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2B23D5"/>
    <w:multiLevelType w:val="hybridMultilevel"/>
    <w:tmpl w:val="BA68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E04D4"/>
    <w:multiLevelType w:val="hybridMultilevel"/>
    <w:tmpl w:val="E02A2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94147">
    <w:abstractNumId w:val="0"/>
  </w:num>
  <w:num w:numId="2" w16cid:durableId="313147900">
    <w:abstractNumId w:val="2"/>
  </w:num>
  <w:num w:numId="3" w16cid:durableId="61691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557"/>
    <w:rsid w:val="00363F22"/>
    <w:rsid w:val="0038520E"/>
    <w:rsid w:val="003910F0"/>
    <w:rsid w:val="00455FF8"/>
    <w:rsid w:val="005A0EF0"/>
    <w:rsid w:val="00635200"/>
    <w:rsid w:val="00656F2D"/>
    <w:rsid w:val="006C05E9"/>
    <w:rsid w:val="00955557"/>
    <w:rsid w:val="00996E23"/>
    <w:rsid w:val="00A12036"/>
    <w:rsid w:val="00A37070"/>
    <w:rsid w:val="00A75683"/>
    <w:rsid w:val="00A760FC"/>
    <w:rsid w:val="00BD4C69"/>
    <w:rsid w:val="00C26B16"/>
    <w:rsid w:val="00CF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D038A0"/>
  <w15:chartTrackingRefBased/>
  <w15:docId w15:val="{C6D15B68-8C78-4687-8771-DED0EA7A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557"/>
    <w:pPr>
      <w:ind w:left="720"/>
      <w:contextualSpacing/>
    </w:pPr>
  </w:style>
  <w:style w:type="paragraph" w:styleId="Header">
    <w:name w:val="header"/>
    <w:basedOn w:val="Normal"/>
    <w:link w:val="HeaderChar"/>
    <w:uiPriority w:val="99"/>
    <w:unhideWhenUsed/>
    <w:rsid w:val="00CF7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95A"/>
  </w:style>
  <w:style w:type="paragraph" w:styleId="Footer">
    <w:name w:val="footer"/>
    <w:basedOn w:val="Normal"/>
    <w:link w:val="FooterChar"/>
    <w:uiPriority w:val="99"/>
    <w:unhideWhenUsed/>
    <w:rsid w:val="00CF7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Anthony De Jesus</cp:lastModifiedBy>
  <cp:revision>4</cp:revision>
  <dcterms:created xsi:type="dcterms:W3CDTF">2022-12-04T19:43:00Z</dcterms:created>
  <dcterms:modified xsi:type="dcterms:W3CDTF">2024-04-17T12:30:00Z</dcterms:modified>
</cp:coreProperties>
</file>